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CC41C0">
        <w:tc>
          <w:tcPr>
            <w:tcW w:w="3687" w:type="dxa"/>
            <w:shd w:val="clear" w:color="auto" w:fill="auto"/>
            <w:vAlign w:val="center"/>
          </w:tcPr>
          <w:p w14:paraId="77E8D6E0" w14:textId="05FC2ADE" w:rsidR="00B57BA6" w:rsidRPr="00340FC2" w:rsidRDefault="00B57BA6" w:rsidP="00CC41C0">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7D5B9DBA" w:rsidR="00B57BA6" w:rsidRPr="00340FC2" w:rsidRDefault="00B54EB3" w:rsidP="00CC41C0">
            <w:pPr>
              <w:jc w:val="both"/>
              <w:rPr>
                <w:rFonts w:ascii="Trebuchet MS" w:eastAsia="Calibri" w:hAnsi="Trebuchet MS" w:cs="Arial"/>
                <w:i/>
                <w:color w:val="A6A6A6"/>
                <w:sz w:val="22"/>
                <w:szCs w:val="22"/>
              </w:rPr>
            </w:pPr>
            <w:r>
              <w:rPr>
                <w:rFonts w:ascii="Trebuchet MS" w:hAnsi="Trebuchet MS" w:cs="Arial"/>
                <w:sz w:val="22"/>
                <w:szCs w:val="22"/>
              </w:rPr>
              <w:t>NARIÑO</w:t>
            </w:r>
          </w:p>
        </w:tc>
      </w:tr>
      <w:tr w:rsidR="00B57BA6" w:rsidRPr="00340FC2" w14:paraId="61136D64" w14:textId="77777777" w:rsidTr="00CC41C0">
        <w:tc>
          <w:tcPr>
            <w:tcW w:w="3687" w:type="dxa"/>
            <w:shd w:val="clear" w:color="auto" w:fill="auto"/>
            <w:vAlign w:val="center"/>
          </w:tcPr>
          <w:p w14:paraId="79B56B7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788F6F9E" w:rsidR="00B57BA6" w:rsidRPr="00340FC2" w:rsidRDefault="00B54EB3" w:rsidP="00CC41C0">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27-08-2025</w:t>
            </w:r>
          </w:p>
        </w:tc>
      </w:tr>
      <w:tr w:rsidR="00B57BA6" w:rsidRPr="00340FC2" w14:paraId="7CD24691" w14:textId="77777777" w:rsidTr="00CC41C0">
        <w:tc>
          <w:tcPr>
            <w:tcW w:w="8586" w:type="dxa"/>
            <w:gridSpan w:val="2"/>
            <w:shd w:val="clear" w:color="auto" w:fill="auto"/>
            <w:vAlign w:val="center"/>
          </w:tcPr>
          <w:p w14:paraId="41588AD1" w14:textId="420C6CBD" w:rsidR="00B57BA6" w:rsidRPr="00340FC2" w:rsidRDefault="00B57BA6" w:rsidP="00CC41C0">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B54EB3">
              <w:rPr>
                <w:rFonts w:ascii="Trebuchet MS" w:hAnsi="Trebuchet MS" w:cs="Arial"/>
                <w:sz w:val="22"/>
                <w:szCs w:val="22"/>
              </w:rPr>
              <w:t>$ 60.203.000,00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CC41C0">
        <w:trPr>
          <w:jc w:val="center"/>
        </w:trPr>
        <w:tc>
          <w:tcPr>
            <w:tcW w:w="6362" w:type="dxa"/>
            <w:gridSpan w:val="2"/>
            <w:shd w:val="clear" w:color="auto" w:fill="auto"/>
            <w:vAlign w:val="center"/>
          </w:tcPr>
          <w:p w14:paraId="19319A6A" w14:textId="77777777" w:rsidR="00B57BA6" w:rsidRPr="00340FC2" w:rsidRDefault="00B57BA6" w:rsidP="00CC41C0">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CC41C0">
        <w:trPr>
          <w:jc w:val="center"/>
        </w:trPr>
        <w:tc>
          <w:tcPr>
            <w:tcW w:w="5804" w:type="dxa"/>
            <w:shd w:val="clear" w:color="auto" w:fill="auto"/>
            <w:vAlign w:val="center"/>
          </w:tcPr>
          <w:p w14:paraId="000BB813" w14:textId="6AE13811" w:rsidR="00B57BA6" w:rsidRPr="00340FC2" w:rsidRDefault="00B57BA6" w:rsidP="00CC41C0">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5DCF3D93"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w:t>
      </w:r>
      <w:r w:rsidR="00CC41C0">
        <w:rPr>
          <w:rFonts w:ascii="Trebuchet MS" w:hAnsi="Trebuchet MS" w:cs="Arial"/>
          <w:szCs w:val="22"/>
        </w:rPr>
        <w:t>No 0645 de 2025, 0988  de 2025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55E558D8"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B54EB3">
        <w:rPr>
          <w:rFonts w:ascii="Trebuchet MS" w:eastAsia="Times New Roman" w:hAnsi="Trebuchet MS" w:cs="Arial"/>
          <w:b w:val="0"/>
          <w:szCs w:val="22"/>
          <w:lang w:val="es-CO" w:eastAsia="es-CO"/>
        </w:rPr>
        <w:t>DEFENSORES PÚBLICOS ANTE LOS JUECES DEL CIRCUITO</w:t>
      </w:r>
      <w:r w:rsidRPr="00340FC2">
        <w:rPr>
          <w:rFonts w:ascii="Trebuchet MS" w:eastAsia="Times New Roman" w:hAnsi="Trebuchet MS" w:cs="Arial"/>
          <w:b w:val="0"/>
          <w:szCs w:val="22"/>
          <w:lang w:val="es-CO" w:eastAsia="es-CO"/>
        </w:rPr>
        <w:t xml:space="preserve"> en el programa </w:t>
      </w:r>
      <w:r w:rsidR="00B54EB3">
        <w:rPr>
          <w:rFonts w:ascii="Trebuchet MS" w:eastAsia="Times New Roman" w:hAnsi="Trebuchet MS" w:cs="Arial"/>
          <w:b w:val="0"/>
          <w:szCs w:val="22"/>
          <w:lang w:val="es-CO" w:eastAsia="es-CO"/>
        </w:rPr>
        <w:t>VÍCTIMAS GENERAL</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3B304CB3" w14:textId="77777777" w:rsidR="00CC41C0" w:rsidRDefault="00CC41C0" w:rsidP="00B57BA6">
      <w:pPr>
        <w:tabs>
          <w:tab w:val="left" w:pos="-720"/>
          <w:tab w:val="left" w:pos="0"/>
        </w:tabs>
        <w:suppressAutoHyphens/>
        <w:jc w:val="both"/>
        <w:rPr>
          <w:rFonts w:ascii="Trebuchet MS" w:hAnsi="Trebuchet MS" w:cs="Arial"/>
          <w:sz w:val="22"/>
          <w:szCs w:val="22"/>
        </w:rPr>
      </w:pPr>
      <w:r>
        <w:rPr>
          <w:rFonts w:ascii="Trebuchet MS" w:hAnsi="Trebuchet MS" w:cs="Arial"/>
          <w:sz w:val="22"/>
          <w:szCs w:val="22"/>
        </w:rPr>
        <w:t xml:space="preserve">Se anexa certificación de autorización de objetos iguales, expedida por el ordenador del gasto para la presente contratación. </w:t>
      </w:r>
    </w:p>
    <w:p w14:paraId="3004EB62" w14:textId="77777777" w:rsidR="00CC41C0" w:rsidRDefault="00CC41C0" w:rsidP="00B57BA6">
      <w:pPr>
        <w:tabs>
          <w:tab w:val="left" w:pos="-720"/>
          <w:tab w:val="left" w:pos="0"/>
        </w:tabs>
        <w:suppressAutoHyphens/>
        <w:jc w:val="both"/>
        <w:rPr>
          <w:rFonts w:ascii="Trebuchet MS" w:hAnsi="Trebuchet MS" w:cs="Arial"/>
          <w:sz w:val="22"/>
          <w:szCs w:val="22"/>
        </w:rPr>
      </w:pPr>
    </w:p>
    <w:p w14:paraId="2E5EBA8D" w14:textId="59F38ECF"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w:t>
      </w:r>
      <w:r w:rsidR="00CC41C0">
        <w:rPr>
          <w:rFonts w:ascii="Trebuchet MS" w:hAnsi="Trebuchet MS" w:cs="Arial"/>
          <w:sz w:val="22"/>
          <w:szCs w:val="22"/>
        </w:rPr>
        <w:t xml:space="preserve">presente </w:t>
      </w:r>
      <w:r w:rsidRPr="00340FC2">
        <w:rPr>
          <w:rFonts w:ascii="Trebuchet MS" w:hAnsi="Trebuchet MS" w:cs="Arial"/>
          <w:sz w:val="22"/>
          <w:szCs w:val="22"/>
        </w:rPr>
        <w:t xml:space="preserve">contratación se encuentra incluida en el Plan </w:t>
      </w:r>
      <w:r w:rsidR="00CC41C0">
        <w:rPr>
          <w:rFonts w:ascii="Trebuchet MS" w:hAnsi="Trebuchet MS" w:cs="Arial"/>
          <w:sz w:val="22"/>
          <w:szCs w:val="22"/>
        </w:rPr>
        <w:t xml:space="preserve">Anual </w:t>
      </w:r>
      <w:r w:rsidRPr="00340FC2">
        <w:rPr>
          <w:rFonts w:ascii="Trebuchet MS" w:hAnsi="Trebuchet MS" w:cs="Arial"/>
          <w:sz w:val="22"/>
          <w:szCs w:val="22"/>
        </w:rPr>
        <w:t xml:space="preserve">de Adquisiciones </w:t>
      </w:r>
      <w:r w:rsidR="00CC41C0">
        <w:rPr>
          <w:rFonts w:ascii="Trebuchet MS" w:hAnsi="Trebuchet MS" w:cs="Arial"/>
          <w:sz w:val="22"/>
          <w:szCs w:val="22"/>
        </w:rPr>
        <w:t xml:space="preserve">-PAA de la Entidad </w:t>
      </w:r>
      <w:r w:rsidRPr="00340FC2">
        <w:rPr>
          <w:rFonts w:ascii="Trebuchet MS" w:hAnsi="Trebuchet MS" w:cs="Arial"/>
          <w:sz w:val="22"/>
          <w:szCs w:val="22"/>
        </w:rPr>
        <w:t>para la vigencia 202</w:t>
      </w:r>
      <w:r w:rsidR="00D76536" w:rsidRPr="00340FC2">
        <w:rPr>
          <w:rFonts w:ascii="Trebuchet MS" w:hAnsi="Trebuchet MS" w:cs="Arial"/>
          <w:sz w:val="22"/>
          <w:szCs w:val="22"/>
        </w:rPr>
        <w:t>5</w:t>
      </w:r>
      <w:r w:rsidR="00CC41C0">
        <w:rPr>
          <w:rFonts w:ascii="Trebuchet MS" w:hAnsi="Trebuchet MS" w:cs="Arial"/>
          <w:sz w:val="22"/>
          <w:szCs w:val="22"/>
        </w:rPr>
        <w:t xml:space="preserve"> bajo la línea No.11926 – 3040</w:t>
      </w:r>
      <w:r w:rsidR="00D76536" w:rsidRPr="00340FC2">
        <w:rPr>
          <w:rFonts w:ascii="Trebuchet MS" w:hAnsi="Trebuchet MS" w:cs="Arial"/>
          <w:sz w:val="22"/>
          <w:szCs w:val="22"/>
        </w:rPr>
        <w:t>.</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CC41C0">
        <w:trPr>
          <w:jc w:val="center"/>
        </w:trPr>
        <w:tc>
          <w:tcPr>
            <w:tcW w:w="1223" w:type="dxa"/>
            <w:shd w:val="clear" w:color="auto" w:fill="D9D9D9"/>
            <w:vAlign w:val="center"/>
          </w:tcPr>
          <w:p w14:paraId="43CAEC4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CC41C0">
        <w:trPr>
          <w:jc w:val="center"/>
        </w:trPr>
        <w:tc>
          <w:tcPr>
            <w:tcW w:w="1223" w:type="dxa"/>
            <w:shd w:val="clear" w:color="auto" w:fill="D9D9D9"/>
            <w:vAlign w:val="center"/>
          </w:tcPr>
          <w:p w14:paraId="36DBE51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CC41C0">
        <w:trPr>
          <w:jc w:val="center"/>
        </w:trPr>
        <w:tc>
          <w:tcPr>
            <w:tcW w:w="1223" w:type="dxa"/>
            <w:shd w:val="clear" w:color="auto" w:fill="D9D9D9"/>
            <w:vAlign w:val="center"/>
          </w:tcPr>
          <w:p w14:paraId="3D431E3C"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CC41C0">
        <w:trPr>
          <w:jc w:val="center"/>
        </w:trPr>
        <w:tc>
          <w:tcPr>
            <w:tcW w:w="1223" w:type="dxa"/>
            <w:shd w:val="clear" w:color="auto" w:fill="D9D9D9"/>
            <w:vAlign w:val="center"/>
          </w:tcPr>
          <w:p w14:paraId="05DF6399"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CC41C0">
        <w:trPr>
          <w:jc w:val="center"/>
        </w:trPr>
        <w:tc>
          <w:tcPr>
            <w:tcW w:w="1223" w:type="dxa"/>
            <w:shd w:val="clear" w:color="auto" w:fill="D9D9D9"/>
            <w:vAlign w:val="center"/>
          </w:tcPr>
          <w:p w14:paraId="29CD2446"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lastRenderedPageBreak/>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w:t>
      </w:r>
      <w:r w:rsidRPr="00340FC2">
        <w:rPr>
          <w:rFonts w:ascii="Trebuchet MS" w:hAnsi="Trebuchet MS" w:cs="Arial"/>
          <w:bCs/>
          <w:sz w:val="22"/>
          <w:szCs w:val="22"/>
        </w:rPr>
        <w:lastRenderedPageBreak/>
        <w:t>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w:t>
      </w:r>
      <w:r w:rsidRPr="00340FC2">
        <w:rPr>
          <w:rFonts w:ascii="Trebuchet MS" w:hAnsi="Trebuchet MS" w:cs="Arial"/>
          <w:bCs/>
          <w:szCs w:val="22"/>
        </w:rPr>
        <w:lastRenderedPageBreak/>
        <w:t>que se le garantice al usuario la continuidad en la prestación del servicio nacional de Defensoría Pública, para lo cual requerirá al supervisor del contrato las constancias y 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C72F49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lo que respecta a los fundamentos jurídicos de la modalidad de selección de los Defensores Públicos, es pertinente traer a colación el artículo 26 de la Ley 941 de 2005, “por la cual se organiza el Sistema Nacional de Defensoría Pública”, que de manera expresa dispone:</w:t>
      </w:r>
    </w:p>
    <w:p w14:paraId="711D805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D2959B"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 de la presente ley, de acuerdo con las normas previstas en el Estatuto de Contratación Estatal (…)” </w:t>
      </w:r>
    </w:p>
    <w:p w14:paraId="10C20DBD"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F95C880"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Este mandato legal, en armonía con lo dispuesto en el numeral 4, literal h) del artículo 2° de la Ley 1150 de 2007 y en el artículo 2.2.1.2.1.4.9 del Decreto 1082 de 2015, faculta a las entidades estatales para contratar, bajo la modalidad de contratación directa, la prestación de servicios profesionales y de apoyo a la gestión con personas naturales o jurídicas que acrediten la idoneidad y/o experiencia relacionada con el área objeto del contrato. Dicho artículo establece:</w:t>
      </w:r>
    </w:p>
    <w:p w14:paraId="3039C339"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33032AC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 </w:t>
      </w:r>
    </w:p>
    <w:p w14:paraId="1B8C588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22C0249"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este contexto, la vinculación de Defensores Públicos constituye una prestación de servicios profesionales especializados que, por su naturaleza, no puede desarrollarse mediante una relación laboral, sino a través de contratos de prestación de servicios, conforme lo establece expresamente la ley especial del sector (Ley 941 de 2005) y lo permiten las disposiciones generales de contratación estatal (Ley 80 de 1993, Ley 1150 de 2007, Decreto 1082 de 2015) y en materia disciplinaria la Ley 1952 de 2019 modificada por la Ley 2094 de 2021 y la Ley 1474 de 2011 y demás normas que las sustituyan o modifiquen.</w:t>
      </w:r>
    </w:p>
    <w:p w14:paraId="1D6097EB"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DB0CD58"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concordancia con lo anterior, la Resolución 0645 de 2025, modificada por la resolución No 0988 de 2025, actualizó las categorías, requisitos y honorarios de los Defensores Públicos, incorporando la categoría “Defensores Públicos del Buen Futuro”, dirigida a profesionales en Derecho con tarjeta profesional vigente, entre 18 y 28 años de edad, que no cuenten con experiencia profesional propia de la actividad de defensor público. Esta categoría se fundamenta en lo dispuesto por las Leyes 1955 de 2019, 2214 de 2022 y 2043 de 2020, que consagran medidas afirmativas para la promoción del primer empleo juvenil en el sector público, fomentando el relevo generacional, la inclusión laboral y la ampliación de la cobertura del servicio de defensoría pública en todo el territorio nacional.</w:t>
      </w:r>
    </w:p>
    <w:p w14:paraId="22C25A9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5197652"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suma, de acuerdo con lo previsto en el artículo 32 de la Ley 80 de 1993, se define el contrato de prestación de servicios como los que celebren las entidades estatales para desarrollar actividades relacionadas con la administración o funcionamiento de las mismas.  Estos contratos solo podrán celebrarse con personas naturales cuando dichas actividades no pueden realizarse con personal de planta o requieran de conocimientos especializados.</w:t>
      </w:r>
    </w:p>
    <w:p w14:paraId="0CDCF51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B444C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5BE9D8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lastRenderedPageBreak/>
        <w:t>La contratación bajo esta modalidad se justifica jurídicamente por las siguientes razones:</w:t>
      </w:r>
    </w:p>
    <w:p w14:paraId="7CAEB9E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561DEB8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1.Mandato legal expreso: La Ley 941 de 2005 determina que la única forma de vinculación de Defensores Públicos es mediante contratos de prestación de servicios profesionales, lo que excluye cualquier modalidad distinta.</w:t>
      </w:r>
    </w:p>
    <w:p w14:paraId="54E10DAE"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2.Naturaleza especializada del servicio: El ejercicio de la defensa técnica judicial y extrajudicial exige conocimientos jurídicos especializados, alto grado de autonomía profesional y responsabilidad directa, propios de la prestación de servicios profesionales.</w:t>
      </w:r>
    </w:p>
    <w:p w14:paraId="58D6A72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3.Ausencia de personal de planta suficiente: La Defensoría del Pueblo no cuenta con la capacidad instalada en planta para cubrir la totalidad de la demanda del servicio a nivel nacional, siendo necesaria la vinculación contractual de profesionales externos.</w:t>
      </w:r>
    </w:p>
    <w:p w14:paraId="3DD8307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4.Compatibilidad con el régimen de contratación directa: El literal h) del numeral 4 del artículo 2° de la Ley 1150 de 2007 y el artículo 2.2.1.2.1.4.9 del Decreto 1082 de 2015 habilitan la contratación directa para este tipo de servicios, previa verificación de idoneidad.</w:t>
      </w:r>
    </w:p>
    <w:p w14:paraId="29C7BA71"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5.Inclusión de política pública de primer empleo: La incorporación de la categoría “Buen Futuro” en la Resolución 0645 de 2025 modificada por la resolución No 0988 de 2025, da cumplimiento a la política de primer empleo prevista en las Leyes 1955 de 2019, 2214 de 2022 y 2043 de 2020, contribuyendo al relevo generacional, la modernización institucional y la equidad en el acceso al servicio público.</w:t>
      </w:r>
    </w:p>
    <w:p w14:paraId="6E4854E5"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9B97614" w14:textId="39F6CAE5" w:rsidR="00B57BA6" w:rsidRPr="00340FC2"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consecuencia, la modalidad de contratación directa – prestación de servicios profesionales especializados resulta procedente, idónea y ajustada al marco jurídico aplicable, garantizando que la Defensoría del Pueblo pueda cumplir, sin interrupciones, su función constitucional y legal de asegurar el acceso efectivo a la justicia, a través de una defensa técnica, gratuita, oportuna y de calidad, fortalecida con la inclusión de la categoría “Defensores Públicos del Buen Futuro”.</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0AC1B580"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B54EB3">
        <w:rPr>
          <w:rFonts w:ascii="Trebuchet MS" w:hAnsi="Trebuchet MS" w:cs="Arial"/>
          <w:sz w:val="22"/>
          <w:szCs w:val="22"/>
        </w:rPr>
        <w:t>SESENTA MILLONES DOSCIENTOS TRES MIL M/CTE</w:t>
      </w:r>
      <w:r w:rsidRPr="00340FC2">
        <w:rPr>
          <w:rFonts w:ascii="Trebuchet MS" w:hAnsi="Trebuchet MS" w:cs="Arial"/>
          <w:sz w:val="22"/>
          <w:szCs w:val="22"/>
        </w:rPr>
        <w:t xml:space="preserve"> PESOS M/CTE (</w:t>
      </w:r>
      <w:r w:rsidR="00B54EB3">
        <w:rPr>
          <w:rFonts w:ascii="Trebuchet MS" w:hAnsi="Trebuchet MS" w:cs="Arial"/>
          <w:sz w:val="22"/>
          <w:szCs w:val="22"/>
        </w:rPr>
        <w:t>$ 60.203.000,00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69"/>
        <w:gridCol w:w="5267"/>
      </w:tblGrid>
      <w:tr w:rsidR="00B57BA6" w:rsidRPr="00340FC2" w14:paraId="02D462B0" w14:textId="77777777" w:rsidTr="00CC41C0">
        <w:trPr>
          <w:trHeight w:val="64"/>
        </w:trPr>
        <w:tc>
          <w:tcPr>
            <w:tcW w:w="3878" w:type="dxa"/>
            <w:shd w:val="clear" w:color="auto" w:fill="D9D9D9" w:themeFill="background1" w:themeFillShade="D9"/>
          </w:tcPr>
          <w:p w14:paraId="3FE18887"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CC41C0">
        <w:trPr>
          <w:trHeight w:val="64"/>
        </w:trPr>
        <w:tc>
          <w:tcPr>
            <w:tcW w:w="3878" w:type="dxa"/>
            <w:vAlign w:val="center"/>
          </w:tcPr>
          <w:p w14:paraId="28DAB31C" w14:textId="45D4334E" w:rsidR="00B57BA6" w:rsidRPr="00340FC2" w:rsidRDefault="00B57BA6" w:rsidP="00CC41C0">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285BDD96" w:rsidR="00B57BA6" w:rsidRPr="00340FC2" w:rsidRDefault="00B57BA6" w:rsidP="00CC41C0">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B54EB3">
              <w:rPr>
                <w:rFonts w:ascii="Trebuchet MS" w:hAnsi="Trebuchet MS" w:cs="Arial"/>
                <w:noProof/>
                <w:sz w:val="22"/>
                <w:szCs w:val="22"/>
              </w:rPr>
              <w:t>139325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B54EB3">
              <w:rPr>
                <w:rFonts w:ascii="Trebuchet MS" w:hAnsi="Trebuchet MS" w:cs="Arial"/>
                <w:sz w:val="22"/>
                <w:szCs w:val="22"/>
              </w:rPr>
              <w:t>04-07-2025</w:t>
            </w:r>
            <w:r w:rsidRPr="00340FC2">
              <w:rPr>
                <w:rFonts w:ascii="Trebuchet MS" w:hAnsi="Trebuchet MS" w:cs="Arial"/>
                <w:sz w:val="22"/>
                <w:szCs w:val="22"/>
              </w:rPr>
              <w:t xml:space="preserve"> </w:t>
            </w:r>
            <w:r w:rsidRPr="00340FC2">
              <w:rPr>
                <w:rFonts w:ascii="Trebuchet MS" w:hAnsi="Trebuchet MS"/>
                <w:sz w:val="22"/>
                <w:szCs w:val="22"/>
              </w:rPr>
              <w:t>(DD/MM/AAAA)</w:t>
            </w:r>
          </w:p>
        </w:tc>
      </w:tr>
      <w:tr w:rsidR="00E35779" w:rsidRPr="00340FC2" w14:paraId="671832E4" w14:textId="77777777" w:rsidTr="00CC41C0">
        <w:trPr>
          <w:trHeight w:val="64"/>
        </w:trPr>
        <w:tc>
          <w:tcPr>
            <w:tcW w:w="3878" w:type="dxa"/>
            <w:vAlign w:val="center"/>
          </w:tcPr>
          <w:p w14:paraId="1595FEF0" w14:textId="377F0FAB" w:rsidR="00E35779" w:rsidRPr="00340FC2" w:rsidRDefault="00E35779" w:rsidP="00CC41C0">
            <w:pPr>
              <w:jc w:val="center"/>
              <w:rPr>
                <w:rFonts w:ascii="Trebuchet MS" w:eastAsiaTheme="minorHAnsi" w:hAnsi="Trebuchet MS"/>
                <w:sz w:val="22"/>
                <w:szCs w:val="22"/>
                <w:lang w:val="es-CO"/>
              </w:rPr>
            </w:pPr>
            <w:r>
              <w:rPr>
                <w:rFonts w:ascii="Trebuchet MS" w:eastAsiaTheme="minorHAnsi" w:hAnsi="Trebuchet MS"/>
                <w:sz w:val="22"/>
                <w:szCs w:val="20"/>
                <w:lang w:val="es-CO"/>
              </w:rPr>
              <w:t>Aprobación vigencias Futuras</w:t>
            </w:r>
          </w:p>
        </w:tc>
        <w:tc>
          <w:tcPr>
            <w:tcW w:w="6149" w:type="dxa"/>
            <w:vAlign w:val="center"/>
          </w:tcPr>
          <w:p w14:paraId="24847BAA" w14:textId="23806624" w:rsidR="00E35779" w:rsidRDefault="00B54EB3" w:rsidP="00E35779">
            <w:pPr>
              <w:tabs>
                <w:tab w:val="left" w:pos="-720"/>
              </w:tabs>
              <w:suppressAutoHyphens/>
              <w:spacing w:line="252" w:lineRule="auto"/>
              <w:jc w:val="center"/>
              <w:rPr>
                <w:rFonts w:ascii="Trebuchet MS" w:eastAsia="Times New Roman" w:hAnsi="Trebuchet MS" w:cs="Arial"/>
                <w:sz w:val="22"/>
                <w:szCs w:val="20"/>
              </w:rPr>
            </w:pPr>
            <w:r>
              <w:rPr>
                <w:rFonts w:ascii="Trebuchet MS" w:hAnsi="Trebuchet MS" w:cs="Arial"/>
                <w:sz w:val="22"/>
                <w:szCs w:val="20"/>
              </w:rPr>
              <w:t>Enero a Julio 2026</w:t>
            </w:r>
          </w:p>
          <w:p w14:paraId="3661F59C" w14:textId="60E63117" w:rsidR="00E35779" w:rsidRPr="00340FC2" w:rsidRDefault="00E35779" w:rsidP="00E35779">
            <w:pPr>
              <w:jc w:val="center"/>
              <w:rPr>
                <w:rFonts w:ascii="Trebuchet MS" w:hAnsi="Trebuchet MS"/>
                <w:sz w:val="22"/>
                <w:szCs w:val="22"/>
              </w:rPr>
            </w:pPr>
            <w:r>
              <w:rPr>
                <w:rFonts w:ascii="Trebuchet MS" w:hAnsi="Trebuchet MS" w:cs="Arial"/>
                <w:sz w:val="22"/>
                <w:szCs w:val="20"/>
              </w:rPr>
              <w:t xml:space="preserve">Radicado: </w:t>
            </w:r>
            <w:r w:rsidR="00B54EB3">
              <w:rPr>
                <w:rFonts w:ascii="Trebuchet MS" w:hAnsi="Trebuchet MS" w:cs="Arial"/>
                <w:sz w:val="22"/>
                <w:szCs w:val="20"/>
              </w:rPr>
              <w:t>2-2025-051431</w:t>
            </w:r>
            <w:r>
              <w:rPr>
                <w:rFonts w:ascii="Trebuchet MS" w:hAnsi="Trebuchet MS" w:cs="Arial"/>
                <w:sz w:val="22"/>
                <w:szCs w:val="20"/>
              </w:rPr>
              <w:t xml:space="preserve"> del </w:t>
            </w:r>
            <w:r w:rsidR="00B54EB3">
              <w:rPr>
                <w:rFonts w:ascii="Trebuchet MS" w:hAnsi="Trebuchet MS" w:cs="Arial"/>
                <w:sz w:val="22"/>
                <w:szCs w:val="20"/>
              </w:rPr>
              <w:t>26 de agosto de 2025</w:t>
            </w:r>
            <w:r>
              <w:rPr>
                <w:rFonts w:ascii="Trebuchet MS" w:hAnsi="Trebuchet MS" w:cs="Arial"/>
                <w:sz w:val="22"/>
                <w:szCs w:val="20"/>
              </w:rPr>
              <w:t>, emitido por el Ministerio de Hacienda y Crédito Público.</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1BF990E7" w:rsidR="00B57BA6"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B54EB3">
        <w:rPr>
          <w:rFonts w:ascii="Trebuchet MS" w:hAnsi="Trebuchet MS" w:cs="Arial"/>
          <w:b/>
          <w:sz w:val="22"/>
          <w:szCs w:val="22"/>
        </w:rPr>
        <w:t>CINCO MILLONES CUATROCIENTOS SETENTA Y TRES MIL M/CTE</w:t>
      </w:r>
      <w:r w:rsidRPr="00340FC2">
        <w:rPr>
          <w:rFonts w:ascii="Trebuchet MS" w:hAnsi="Trebuchet MS" w:cs="Arial"/>
          <w:b/>
          <w:sz w:val="22"/>
          <w:szCs w:val="22"/>
        </w:rPr>
        <w:t xml:space="preserve">  (</w:t>
      </w:r>
      <w:r w:rsidR="00B54EB3">
        <w:rPr>
          <w:rFonts w:ascii="Trebuchet MS" w:hAnsi="Trebuchet MS" w:cs="Arial"/>
          <w:b/>
          <w:sz w:val="22"/>
          <w:szCs w:val="22"/>
        </w:rPr>
        <w:t>$ 5.473.000,00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1F392891" w14:textId="6ED5F660" w:rsidR="00772CD1" w:rsidRDefault="00772CD1" w:rsidP="00B57BA6">
      <w:pPr>
        <w:tabs>
          <w:tab w:val="left" w:pos="-720"/>
          <w:tab w:val="left" w:pos="0"/>
        </w:tabs>
        <w:suppressAutoHyphens/>
        <w:jc w:val="both"/>
        <w:rPr>
          <w:rFonts w:ascii="Trebuchet MS" w:hAnsi="Trebuchet MS" w:cs="Arial"/>
          <w:sz w:val="22"/>
          <w:szCs w:val="22"/>
        </w:rPr>
      </w:pPr>
    </w:p>
    <w:p w14:paraId="31243DB0"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los periodos que no correspondan a mensualidades completas, se cancelará la suma equivalente a los servicios prestados, proporcional al valor mensual pactado, con base en la fecha de la suscripción del acta de inicio</w:t>
      </w:r>
    </w:p>
    <w:p w14:paraId="565F5D4E"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238B6768"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que se acredita con la entrega personal del informe al supervisor del contrato para la </w:t>
      </w:r>
      <w:r w:rsidRPr="00772CD1">
        <w:rPr>
          <w:rFonts w:ascii="Trebuchet MS" w:hAnsi="Trebuchet MS" w:cs="Arial"/>
          <w:sz w:val="22"/>
          <w:szCs w:val="22"/>
        </w:rPr>
        <w:lastRenderedPageBreak/>
        <w:t xml:space="preserve">certificación de honorarios del periodo que corresponda y a la aprobación del Plan Anual de Caja - PAC.  </w:t>
      </w:r>
    </w:p>
    <w:p w14:paraId="360AD41A"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79B08F67" w14:textId="05749A3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cada pago, se requiere que: 1) el contratista cargue a SECOP II: a) la factura en aquellos eventos en que de acuerdo con la normatividad aplicable se requiera; b) los soportes de ejecución correspondientes (evidencias de ejecución) y demás anexos que sean requeridos por la supervisión y/o la Defensoría; y c) la planilla de pago de los aportes al sistema de seguridad social que corresponda; 2) el contratista elabore, suscriba y presente al supervisor del contrato el Informe de Ejecución Contractual para pagos prestación de servicios profesionales y de apoyo a la gestión (Formulario vigente) y 3) el supervisor suscriba y cargue a la plataforma SECOP II el formulario citado en el numeral anterior, previa verificación del cumplimiento del contrato.</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3CDDE6B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El documento deberá diligenciarse conforme al formato codificado establecido para tal efecto dentro del Sistema de Gestión de la Calidad. Este hará parte integral del presente estudio previo y deberá adjuntarse como anexo</w:t>
      </w:r>
      <w:r w:rsidR="00B57BA6" w:rsidRPr="00340FC2">
        <w:rPr>
          <w:rFonts w:ascii="Trebuchet MS" w:hAnsi="Trebuchet MS" w:cs="Arial"/>
          <w:sz w:val="22"/>
          <w:szCs w:val="22"/>
        </w:rPr>
        <w:t>.</w:t>
      </w:r>
    </w:p>
    <w:p w14:paraId="39114456" w14:textId="77777777" w:rsidR="00772CD1" w:rsidRDefault="00772CD1" w:rsidP="00B57BA6">
      <w:pPr>
        <w:pStyle w:val="P27"/>
        <w:jc w:val="both"/>
        <w:rPr>
          <w:rFonts w:ascii="Trebuchet MS" w:hAnsi="Trebuchet MS" w:cs="Arial"/>
          <w:szCs w:val="22"/>
        </w:rPr>
      </w:pPr>
    </w:p>
    <w:p w14:paraId="7F81B46C" w14:textId="3A466158"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lastRenderedPageBreak/>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30625103"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B54EB3">
        <w:rPr>
          <w:rFonts w:ascii="Trebuchet MS" w:hAnsi="Trebuchet MS" w:cs="Arial"/>
          <w:b w:val="0"/>
          <w:szCs w:val="22"/>
        </w:rPr>
        <w:t>31 de JULIO de 2026</w:t>
      </w:r>
      <w:r w:rsidRPr="00340FC2">
        <w:rPr>
          <w:rFonts w:ascii="Trebuchet MS" w:hAnsi="Trebuchet MS" w:cs="Arial"/>
          <w:b w:val="0"/>
          <w:szCs w:val="22"/>
        </w:rPr>
        <w:t>, contados a partir del</w:t>
      </w:r>
      <w:r w:rsidR="002611AD">
        <w:rPr>
          <w:rFonts w:ascii="Trebuchet MS" w:hAnsi="Trebuchet MS" w:cs="Arial"/>
          <w:b w:val="0"/>
          <w:szCs w:val="22"/>
        </w:rPr>
        <w:t xml:space="preserve"> inicio de la ejecución contractual en la plataforma SECOPII</w:t>
      </w:r>
      <w:r w:rsidRPr="00340FC2">
        <w:rPr>
          <w:rFonts w:ascii="Trebuchet MS" w:hAnsi="Trebuchet MS" w:cs="Arial"/>
          <w:b w:val="0"/>
          <w:szCs w:val="22"/>
        </w:rPr>
        <w:t>.</w:t>
      </w:r>
    </w:p>
    <w:p w14:paraId="4F742EFF" w14:textId="5D9C6FED" w:rsidR="00B57BA6" w:rsidRDefault="00B57BA6" w:rsidP="00B57BA6">
      <w:pPr>
        <w:pStyle w:val="P27"/>
        <w:jc w:val="both"/>
        <w:rPr>
          <w:rFonts w:ascii="Trebuchet MS" w:hAnsi="Trebuchet MS" w:cs="Arial"/>
          <w:szCs w:val="22"/>
        </w:rPr>
      </w:pPr>
    </w:p>
    <w:p w14:paraId="557EC22B" w14:textId="08423F01" w:rsidR="002611AD" w:rsidRPr="002611AD" w:rsidRDefault="002611AD" w:rsidP="00B57BA6">
      <w:pPr>
        <w:pStyle w:val="P27"/>
        <w:jc w:val="both"/>
        <w:rPr>
          <w:rFonts w:ascii="Trebuchet MS" w:hAnsi="Trebuchet MS" w:cs="Arial"/>
          <w:b w:val="0"/>
          <w:szCs w:val="22"/>
        </w:rPr>
      </w:pPr>
      <w:r w:rsidRPr="002611AD">
        <w:rPr>
          <w:rFonts w:ascii="Trebuchet MS" w:hAnsi="Trebuchet MS" w:cs="Arial"/>
          <w:b w:val="0"/>
          <w:szCs w:val="22"/>
        </w:rPr>
        <w:t>El plazo anteriormente señalado, obedece al principio de planeación, el cual tiene su justificación en la descripción de la necesidad consignada en el numeral 1 del presente documento, en virtud de lo cual se puede concluir que, la prestación del servicio a favor de la Defensoría del Pueblo es de forma temporal y, de ninguna manera, con ánimo de permanencia.</w:t>
      </w:r>
    </w:p>
    <w:p w14:paraId="43DBAD84" w14:textId="77777777" w:rsidR="002611AD" w:rsidRPr="00340FC2" w:rsidRDefault="002611AD"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3D2B634B"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B54EB3">
        <w:rPr>
          <w:rFonts w:ascii="Trebuchet MS" w:hAnsi="Trebuchet MS" w:cs="Arial"/>
          <w:b w:val="0"/>
          <w:szCs w:val="22"/>
        </w:rPr>
        <w:t xml:space="preserve"> CIRCUITO PASTO</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B54EB3">
        <w:rPr>
          <w:rFonts w:ascii="Trebuchet MS" w:hAnsi="Trebuchet MS" w:cs="Arial"/>
          <w:b w:val="0"/>
          <w:szCs w:val="22"/>
        </w:rPr>
        <w:t>NARIÑO</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8205663" w:rsidR="00B57BA6"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0B9F082F" w14:textId="6F099C0F" w:rsidR="00943362" w:rsidRDefault="00943362" w:rsidP="00B57BA6">
      <w:pPr>
        <w:tabs>
          <w:tab w:val="left" w:pos="-720"/>
          <w:tab w:val="left" w:pos="0"/>
        </w:tabs>
        <w:suppressAutoHyphens/>
        <w:jc w:val="both"/>
        <w:rPr>
          <w:rFonts w:ascii="Trebuchet MS" w:hAnsi="Trebuchet MS" w:cs="Arial"/>
          <w:bCs/>
          <w:sz w:val="22"/>
          <w:szCs w:val="22"/>
        </w:rPr>
      </w:pPr>
    </w:p>
    <w:p w14:paraId="7C407520" w14:textId="77777777" w:rsidR="00943362" w:rsidRPr="0094336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El(la) supervisor(a) vigilará el cumplimiento de las obligaciones aquí contraídas, así como las establecidas en las condiciones complementarias y reportará las deficiencias que se presenten tanto en la gestión como en la información reportada, así mismo, deberá supervisar el desempeño del contratista, recibir y aprobar los informes presentados y autorizar los pagos a que haya lugar. En ningún caso modificará las condiciones del contrato.</w:t>
      </w:r>
    </w:p>
    <w:p w14:paraId="5EB4D300" w14:textId="4FDA4E8D" w:rsidR="00943362" w:rsidRPr="00340FC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Para esos efectos, el supervisor estará sujeto a lo dispuesto en el numeral 1 del Artículo 4º y numeral 1º del artículo 26 de la Ley 80 de 1993, la Ley 1952 de 2019 modificada por la Ley 2094 de 2021 y la Ley 1474 de 2011 y demás normas que las sustituyan o modifiquen.</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w:t>
      </w:r>
      <w:r w:rsidRPr="00340FC2">
        <w:rPr>
          <w:rFonts w:ascii="Trebuchet MS" w:eastAsia="SimSun" w:hAnsi="Trebuchet MS" w:cs="Arial"/>
          <w:sz w:val="22"/>
          <w:szCs w:val="22"/>
          <w:lang w:val="es-ES" w:eastAsia="es-ES"/>
        </w:rPr>
        <w:lastRenderedPageBreak/>
        <w:t>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4EC8F954"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B54EB3">
        <w:rPr>
          <w:rFonts w:ascii="Trebuchet MS" w:eastAsia="MS Mincho" w:hAnsi="Trebuchet MS" w:cs="Arial"/>
          <w:b w:val="0"/>
          <w:bCs/>
          <w:szCs w:val="22"/>
          <w:lang w:val="es-ES_tradnl" w:eastAsia="en-US"/>
        </w:rPr>
        <w:t>DEFENSORES PÚBLICOS ANTE LOS JUECES DEL CIRCUITO</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6F84E8ED"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De acuerdo con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58E8B3CC"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724681EE"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 xml:space="preserve">En cumplimiento de lo establecido en el artículo 2.2.1.1.1.5 del Decreto 1082 de 2015, </w:t>
      </w:r>
      <w:r w:rsidRPr="00F00C48">
        <w:rPr>
          <w:rFonts w:ascii="Trebuchet MS" w:eastAsia="MS Mincho" w:hAnsi="Trebuchet MS" w:cs="Arial"/>
          <w:b w:val="0"/>
          <w:bCs/>
          <w:szCs w:val="22"/>
          <w:lang w:val="es-ES_tradnl" w:eastAsia="en-US"/>
        </w:rPr>
        <w:lastRenderedPageBreak/>
        <w:t>se adelantó el estudio de mercado con el propósito de verificar la disponibilidad de oferentes idóneos, determinar la razonabilidad de los valores contractuales y garantizar la eficiencia y transparencia en el uso de los recursos públicos.</w:t>
      </w:r>
    </w:p>
    <w:p w14:paraId="15F38C16"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3B51EEF3"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1.Tarifas oficiales</w:t>
      </w:r>
    </w:p>
    <w:p w14:paraId="5148BAA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6E2D01AA"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La Resolución 0645 de 2025, modificada por la resolución No 0988 de 2025, fija de manera expresa los honorarios aplicables para cada categoría y programa de defensoría pública. Estos valores son de carácter obligatorio y constituyen la referencia para establecer el valor de la presente contratación, garantizando que no se generen sobrecostos.</w:t>
      </w:r>
    </w:p>
    <w:p w14:paraId="4FA5B9AA"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23D07F9C"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En el mercado colombiano, los servicios de representación judicial, extrajudicial y litigio son prestados por:</w:t>
      </w:r>
    </w:p>
    <w:p w14:paraId="10BC36C7"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1F8E1F20"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naturales, abogados inscritos y habilitados ante el Consejo Superior de la Judicatura, que ejercen de manera independiente.</w:t>
      </w:r>
    </w:p>
    <w:p w14:paraId="2A4CD642"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jurídicas, como consorcios, bufetes y pools de abogados, que cuentan con equipos especializados y experiencia acreditada, respaldados en algunos casos por afiliaciones a agremiaciones como la Cámara de Servicios Legales de la ANDI (www.andi.com.co).</w:t>
      </w:r>
    </w:p>
    <w:p w14:paraId="60C46E5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5549A89A" w14:textId="4BEF9CA7" w:rsidR="00B57BA6" w:rsidRPr="00340FC2"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Para la categoría “Defensores Públicos del Buen Futuro”, se verificó la existencia de profesionales en Derecho con tarjeta profesional vigente, entre 18 y 28 años, sin experiencia en actividades propias de defensor público, conforme a lo previsto en la Resolución 0645 de 2025 modificada por la resolución No 0988 de 2025 y en las Leyes 1955 de 2019, 2214 de 2022 y 2043 de 2020.</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7AACDE1D"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servicio objeto de este contrato es de carácter jurídico y se ejecuta bajo la modalidad de contrato de prestación de servicios profesionales especializados, en desarrollo de las obligaciones contractuales establecidas en los estudios previos.</w:t>
      </w:r>
    </w:p>
    <w:p w14:paraId="54D1F5E5" w14:textId="77777777" w:rsidR="00F00C48" w:rsidRPr="00F00C48" w:rsidRDefault="00F00C48" w:rsidP="00F00C48">
      <w:pPr>
        <w:pStyle w:val="P34"/>
        <w:jc w:val="both"/>
        <w:rPr>
          <w:rFonts w:ascii="Trebuchet MS" w:hAnsi="Trebuchet MS" w:cs="Arial"/>
          <w:b w:val="0"/>
          <w:iCs/>
          <w:szCs w:val="22"/>
        </w:rPr>
      </w:pPr>
    </w:p>
    <w:p w14:paraId="15D339AC"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prestación: Ejecución directa por parte del contratista, cumpliendo los lineamientos y estándares de calidad definidos por la Defensoría del Pueblo.</w:t>
      </w:r>
    </w:p>
    <w:p w14:paraId="6358290A"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•Supervisión y control: La verificación del cumplimiento se realiza por parte del supervisor designado, mediante la revisión periódica de informes, actas y demás soportes.</w:t>
      </w:r>
    </w:p>
    <w:p w14:paraId="482B4F41"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pago: Mensual, previa certificación del supervisor sobre el cumplimiento de las obligaciones contractuales y verificación de la ejecución del servicio.</w:t>
      </w:r>
    </w:p>
    <w:p w14:paraId="408C5CA9" w14:textId="77777777" w:rsidR="00F00C48" w:rsidRPr="00F00C48" w:rsidRDefault="00F00C48" w:rsidP="00F00C48">
      <w:pPr>
        <w:pStyle w:val="P34"/>
        <w:jc w:val="both"/>
        <w:rPr>
          <w:rFonts w:ascii="Trebuchet MS" w:hAnsi="Trebuchet MS" w:cs="Arial"/>
          <w:b w:val="0"/>
          <w:iCs/>
          <w:szCs w:val="22"/>
        </w:rPr>
      </w:pPr>
    </w:p>
    <w:p w14:paraId="63CB9662"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Cobertura y disponibilidad</w:t>
      </w:r>
    </w:p>
    <w:p w14:paraId="14552963" w14:textId="77777777" w:rsidR="00F00C48" w:rsidRPr="00F00C48" w:rsidRDefault="00F00C48" w:rsidP="00F00C48">
      <w:pPr>
        <w:pStyle w:val="P34"/>
        <w:jc w:val="both"/>
        <w:rPr>
          <w:rFonts w:ascii="Trebuchet MS" w:hAnsi="Trebuchet MS" w:cs="Arial"/>
          <w:b w:val="0"/>
          <w:iCs/>
          <w:szCs w:val="22"/>
        </w:rPr>
      </w:pPr>
    </w:p>
    <w:p w14:paraId="3A81FBB7" w14:textId="77FE3210" w:rsidR="00B57BA6"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Registro de Operadores de la Defensoría del Pueblo y consultas a redes profesionales y académicas demuestran que existe disponibilidad suficiente de profesionales idóneos, tanto en la modalidad independiente como en la modalidad de persona jurídica, para cubrir la presente necesidad en la jurisdicción requerida.</w:t>
      </w:r>
    </w:p>
    <w:p w14:paraId="6DD394A8" w14:textId="77777777" w:rsidR="00F00C48" w:rsidRPr="00340FC2" w:rsidRDefault="00F00C48" w:rsidP="00F00C48">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 xml:space="preserve">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w:t>
      </w:r>
      <w:r w:rsidRPr="00340FC2">
        <w:rPr>
          <w:rFonts w:ascii="Trebuchet MS" w:eastAsia="SimSun" w:hAnsi="Trebuchet MS" w:cs="Arial"/>
          <w:iCs/>
          <w:sz w:val="22"/>
          <w:szCs w:val="22"/>
          <w:lang w:val="es-ES" w:eastAsia="es-ES"/>
        </w:rPr>
        <w:lastRenderedPageBreak/>
        <w:t>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CC41C0">
        <w:trPr>
          <w:trHeight w:val="300"/>
        </w:trPr>
        <w:tc>
          <w:tcPr>
            <w:tcW w:w="2175" w:type="dxa"/>
            <w:shd w:val="clear" w:color="auto" w:fill="auto"/>
            <w:noWrap/>
            <w:vAlign w:val="bottom"/>
            <w:hideMark/>
          </w:tcPr>
          <w:p w14:paraId="0DBBFB33"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CC41C0">
        <w:trPr>
          <w:trHeight w:val="300"/>
        </w:trPr>
        <w:tc>
          <w:tcPr>
            <w:tcW w:w="2175" w:type="dxa"/>
            <w:shd w:val="clear" w:color="auto" w:fill="auto"/>
            <w:noWrap/>
            <w:vAlign w:val="bottom"/>
            <w:hideMark/>
          </w:tcPr>
          <w:p w14:paraId="15A17C1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6F21AAF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CC41C0">
        <w:trPr>
          <w:trHeight w:val="300"/>
        </w:trPr>
        <w:tc>
          <w:tcPr>
            <w:tcW w:w="2175" w:type="dxa"/>
            <w:shd w:val="clear" w:color="auto" w:fill="auto"/>
            <w:noWrap/>
            <w:vAlign w:val="bottom"/>
            <w:hideMark/>
          </w:tcPr>
          <w:p w14:paraId="363B1DE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 xml:space="preserve">DEFENSORES PÚBLICOS ANTE LOS JUECES </w:t>
            </w:r>
            <w:r w:rsidRPr="00340FC2">
              <w:rPr>
                <w:rFonts w:ascii="Trebuchet MS" w:eastAsia="Times New Roman" w:hAnsi="Trebuchet MS" w:cstheme="majorHAnsi"/>
                <w:color w:val="000000"/>
                <w:sz w:val="22"/>
                <w:szCs w:val="22"/>
                <w:lang w:eastAsia="es-CO"/>
              </w:rPr>
              <w:lastRenderedPageBreak/>
              <w:t>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CC41C0">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CC41C0">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CC41C0">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CC41C0">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CC41C0">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CC41C0">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CC41C0">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CC41C0">
            <w:pPr>
              <w:rPr>
                <w:rFonts w:ascii="Trebuchet MS" w:eastAsia="Times New Roman" w:hAnsi="Trebuchet MS" w:cstheme="majorHAnsi"/>
                <w:sz w:val="22"/>
                <w:szCs w:val="22"/>
                <w:lang w:eastAsia="es-CO"/>
              </w:rPr>
            </w:pPr>
          </w:p>
          <w:p w14:paraId="746E90A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CC41C0">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CC41C0">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CC41C0">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CC41C0">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FC9B03B" w14:textId="77777777" w:rsidTr="00CC41C0">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6B7E14E" w14:textId="77777777" w:rsidTr="00CC41C0">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CC41C0">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7EB253A3" w14:textId="77777777" w:rsidTr="00CC41C0">
        <w:trPr>
          <w:tblCellSpacing w:w="0" w:type="dxa"/>
        </w:trPr>
        <w:tc>
          <w:tcPr>
            <w:tcW w:w="0" w:type="auto"/>
            <w:shd w:val="clear" w:color="auto" w:fill="FFFFFF"/>
            <w:vAlign w:val="center"/>
            <w:hideMark/>
          </w:tcPr>
          <w:p w14:paraId="0A3FF3BF"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13"/>
              <w:gridCol w:w="4595"/>
              <w:gridCol w:w="78"/>
            </w:tblGrid>
            <w:tr w:rsidR="00B57BA6" w:rsidRPr="00340FC2" w14:paraId="0A7060E2" w14:textId="77777777" w:rsidTr="00CC41C0">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CC41C0">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CC41C0">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CC41C0">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CC41C0">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CC41C0">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CC41C0">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CC41C0">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CC41C0">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CC41C0">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CC41C0">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CC41C0">
                                <w:trPr>
                                  <w:trHeight w:val="1184"/>
                                  <w:tblCellSpacing w:w="15" w:type="dxa"/>
                                </w:trPr>
                                <w:tc>
                                  <w:tcPr>
                                    <w:tcW w:w="0" w:type="auto"/>
                                    <w:vAlign w:val="center"/>
                                    <w:hideMark/>
                                  </w:tcPr>
                                  <w:p w14:paraId="4D5C76F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CC41C0">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CC41C0">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CC41C0">
                              <w:pPr>
                                <w:rPr>
                                  <w:rFonts w:ascii="Trebuchet MS" w:eastAsia="Times New Roman" w:hAnsi="Trebuchet MS" w:cstheme="majorHAnsi"/>
                                  <w:sz w:val="22"/>
                                  <w:szCs w:val="22"/>
                                  <w:lang w:eastAsia="es-CO"/>
                                </w:rPr>
                              </w:pPr>
                            </w:p>
                          </w:tc>
                        </w:tr>
                      </w:tbl>
                      <w:p w14:paraId="1B8E7A57" w14:textId="77777777" w:rsidR="00B57BA6" w:rsidRPr="00340FC2" w:rsidRDefault="00B57BA6" w:rsidP="00CC41C0">
                        <w:pPr>
                          <w:rPr>
                            <w:rFonts w:ascii="Trebuchet MS" w:eastAsia="Times New Roman" w:hAnsi="Trebuchet MS" w:cstheme="majorHAnsi"/>
                            <w:sz w:val="22"/>
                            <w:szCs w:val="22"/>
                            <w:lang w:eastAsia="es-CO"/>
                          </w:rPr>
                        </w:pPr>
                      </w:p>
                    </w:tc>
                  </w:tr>
                </w:tbl>
                <w:p w14:paraId="20A65070" w14:textId="77777777" w:rsidR="00B57BA6" w:rsidRPr="00340FC2" w:rsidRDefault="00B57BA6" w:rsidP="00CC41C0">
                  <w:pPr>
                    <w:rPr>
                      <w:rFonts w:ascii="Trebuchet MS" w:eastAsia="Times New Roman" w:hAnsi="Trebuchet MS" w:cstheme="majorHAnsi"/>
                      <w:sz w:val="22"/>
                      <w:szCs w:val="22"/>
                      <w:lang w:eastAsia="es-CO"/>
                    </w:rPr>
                  </w:pPr>
                </w:p>
              </w:tc>
            </w:tr>
          </w:tbl>
          <w:p w14:paraId="73BB9790" w14:textId="77777777" w:rsidR="00B57BA6" w:rsidRPr="00340FC2" w:rsidRDefault="00B57BA6" w:rsidP="00CC41C0">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CC41C0">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CC41C0">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CC41C0">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CC41C0">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555F1FC0" w14:textId="77777777" w:rsidTr="00CC41C0">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DA6DBB4" w14:textId="77777777" w:rsidTr="00CC41C0">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CC41C0">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3D7BC09E" w14:textId="77777777" w:rsidTr="00CC41C0">
        <w:trPr>
          <w:trHeight w:val="3423"/>
          <w:tblCellSpacing w:w="0" w:type="dxa"/>
        </w:trPr>
        <w:tc>
          <w:tcPr>
            <w:tcW w:w="0" w:type="auto"/>
            <w:shd w:val="clear" w:color="auto" w:fill="FFFFFF"/>
            <w:vAlign w:val="center"/>
            <w:hideMark/>
          </w:tcPr>
          <w:p w14:paraId="23FEAF1C"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CC41C0">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CC41C0">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CC41C0">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CC41C0">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CC41C0">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CC41C0">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CC41C0">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CC41C0">
                        <w:pPr>
                          <w:rPr>
                            <w:rFonts w:ascii="Trebuchet MS" w:eastAsia="Times New Roman" w:hAnsi="Trebuchet MS" w:cstheme="majorHAnsi"/>
                            <w:sz w:val="22"/>
                            <w:szCs w:val="22"/>
                            <w:lang w:eastAsia="es-CO"/>
                          </w:rPr>
                        </w:pPr>
                      </w:p>
                    </w:tc>
                  </w:tr>
                </w:tbl>
                <w:p w14:paraId="192AB365" w14:textId="77777777" w:rsidR="00B57BA6" w:rsidRPr="00340FC2" w:rsidRDefault="00B57BA6" w:rsidP="00CC41C0">
                  <w:pPr>
                    <w:rPr>
                      <w:rFonts w:ascii="Trebuchet MS" w:eastAsia="Times New Roman" w:hAnsi="Trebuchet MS" w:cstheme="majorHAnsi"/>
                      <w:sz w:val="22"/>
                      <w:szCs w:val="22"/>
                      <w:lang w:eastAsia="es-CO"/>
                    </w:rPr>
                  </w:pPr>
                </w:p>
              </w:tc>
            </w:tr>
          </w:tbl>
          <w:p w14:paraId="6ACFB5BB" w14:textId="77777777" w:rsidR="00B57BA6" w:rsidRPr="00340FC2" w:rsidRDefault="00B57BA6" w:rsidP="00CC41C0">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CC41C0">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CC41C0">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CC41C0">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CC41C0">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CC41C0">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6A80B4BE" w14:textId="77777777" w:rsidTr="00CC41C0">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CE3CE58" w14:textId="77777777" w:rsidTr="00CC41C0">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CC41C0">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4CC1533" w14:textId="77777777" w:rsidTr="00CC41C0">
        <w:trPr>
          <w:tblCellSpacing w:w="0" w:type="dxa"/>
        </w:trPr>
        <w:tc>
          <w:tcPr>
            <w:tcW w:w="0" w:type="auto"/>
            <w:shd w:val="clear" w:color="auto" w:fill="FFFFFF"/>
            <w:vAlign w:val="center"/>
            <w:hideMark/>
          </w:tcPr>
          <w:p w14:paraId="537820A5"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CC41C0">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CC41C0">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CC41C0">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CC41C0">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CC41C0">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CC41C0">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CC41C0">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CC41C0">
                        <w:pPr>
                          <w:rPr>
                            <w:rFonts w:ascii="Trebuchet MS" w:eastAsia="Times New Roman" w:hAnsi="Trebuchet MS" w:cstheme="majorHAnsi"/>
                            <w:sz w:val="22"/>
                            <w:szCs w:val="22"/>
                            <w:lang w:eastAsia="es-CO"/>
                          </w:rPr>
                        </w:pPr>
                      </w:p>
                    </w:tc>
                  </w:tr>
                </w:tbl>
                <w:p w14:paraId="4E98CE26" w14:textId="77777777" w:rsidR="00B57BA6" w:rsidRPr="00340FC2" w:rsidRDefault="00B57BA6" w:rsidP="00CC41C0">
                  <w:pPr>
                    <w:rPr>
                      <w:rFonts w:ascii="Trebuchet MS" w:eastAsia="Times New Roman" w:hAnsi="Trebuchet MS" w:cstheme="majorHAnsi"/>
                      <w:sz w:val="22"/>
                      <w:szCs w:val="22"/>
                      <w:lang w:eastAsia="es-CO"/>
                    </w:rPr>
                  </w:pPr>
                </w:p>
              </w:tc>
            </w:tr>
          </w:tbl>
          <w:p w14:paraId="6AEF98F6" w14:textId="77777777" w:rsidR="00B57BA6" w:rsidRPr="00340FC2" w:rsidRDefault="00B57BA6" w:rsidP="00CC41C0">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05D8C8E0" w:rsidR="00B57BA6" w:rsidRPr="00340FC2" w:rsidRDefault="00742C53"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689EFDDB" wp14:editId="66AB49E2">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2">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6AA0FC7C" w:rsidR="008D0E4D" w:rsidRPr="00340FC2" w:rsidRDefault="00F00C48" w:rsidP="008D0E4D">
            <w:pPr>
              <w:jc w:val="center"/>
              <w:rPr>
                <w:rFonts w:ascii="Trebuchet MS" w:hAnsi="Trebuchet MS" w:cs="Calibri"/>
                <w:sz w:val="22"/>
                <w:szCs w:val="22"/>
                <w:lang w:val="es-MX" w:eastAsia="es-MX"/>
              </w:rPr>
            </w:pP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w:t>
            </w: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/202</w:t>
            </w:r>
            <w:r w:rsidR="00E5009D"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4"/>
      <w:headerReference w:type="default" r:id="rId15"/>
      <w:footerReference w:type="even" r:id="rId16"/>
      <w:footerReference w:type="default" r:id="rId17"/>
      <w:headerReference w:type="first" r:id="rId18"/>
      <w:footerReference w:type="first" r:id="rId19"/>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2611AA" w14:textId="77777777" w:rsidR="00994E74" w:rsidRDefault="00994E74" w:rsidP="00055140">
      <w:r>
        <w:separator/>
      </w:r>
    </w:p>
  </w:endnote>
  <w:endnote w:type="continuationSeparator" w:id="0">
    <w:p w14:paraId="7421E214" w14:textId="77777777" w:rsidR="00994E74" w:rsidRDefault="00994E74"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charset w:val="00"/>
    <w:family w:val="swiss"/>
    <w:pitch w:val="variable"/>
    <w:sig w:usb0="E1000AEF" w:usb1="5000A1FF" w:usb2="00000000" w:usb3="00000000" w:csb0="000001BF" w:csb1="00000000"/>
  </w:font>
  <w:font w:name="Arial2">
    <w:panose1 w:val="00000000000000000000"/>
    <w:charset w:val="00"/>
    <w:family w:val="auto"/>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AEA318" w14:textId="77777777" w:rsidR="00B54EB3" w:rsidRDefault="00B54EB3">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1E88F" w14:textId="54154345" w:rsidR="00CC41C0" w:rsidRPr="000F1D7E" w:rsidRDefault="00CC41C0">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742C53">
      <w:rPr>
        <w:rFonts w:ascii="Trebuchet MS" w:hAnsi="Trebuchet MS"/>
        <w:b/>
        <w:bCs/>
        <w:noProof/>
        <w:sz w:val="16"/>
        <w:szCs w:val="16"/>
      </w:rPr>
      <w:t>18</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742C53">
      <w:rPr>
        <w:rFonts w:ascii="Trebuchet MS" w:hAnsi="Trebuchet MS"/>
        <w:b/>
        <w:bCs/>
        <w:noProof/>
        <w:sz w:val="16"/>
        <w:szCs w:val="16"/>
      </w:rPr>
      <w:t>18</w:t>
    </w:r>
    <w:r w:rsidRPr="000F1D7E">
      <w:rPr>
        <w:rFonts w:ascii="Trebuchet MS" w:hAnsi="Trebuchet MS"/>
        <w:b/>
        <w:bCs/>
        <w:sz w:val="16"/>
        <w:szCs w:val="16"/>
      </w:rPr>
      <w:fldChar w:fldCharType="end"/>
    </w:r>
  </w:p>
  <w:p w14:paraId="3BE39E2D" w14:textId="77777777" w:rsidR="00CC41C0" w:rsidRDefault="00CC41C0">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CCFA83" w14:textId="77777777" w:rsidR="00B54EB3" w:rsidRDefault="00B54EB3">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08BBA0" w14:textId="77777777" w:rsidR="00994E74" w:rsidRDefault="00994E74" w:rsidP="00055140">
      <w:r>
        <w:separator/>
      </w:r>
    </w:p>
  </w:footnote>
  <w:footnote w:type="continuationSeparator" w:id="0">
    <w:p w14:paraId="2CAD0187" w14:textId="77777777" w:rsidR="00994E74" w:rsidRDefault="00994E74" w:rsidP="000551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9F927C4" w14:textId="77777777" w:rsidR="00B54EB3" w:rsidRDefault="00B54EB3">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CC41C0"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CC41C0" w:rsidRPr="000913A3" w:rsidRDefault="00CC41C0"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CC41C0" w:rsidRPr="00352099" w:rsidRDefault="00CC41C0"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CC41C0" w:rsidRPr="00F6491E" w:rsidRDefault="00CC41C0"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CC41C0" w:rsidRPr="000913A3" w14:paraId="001D93DE" w14:textId="77777777" w:rsidTr="53F86C67">
      <w:trPr>
        <w:trHeight w:val="45"/>
      </w:trPr>
      <w:tc>
        <w:tcPr>
          <w:tcW w:w="0" w:type="auto"/>
          <w:vMerge/>
          <w:vAlign w:val="center"/>
          <w:hideMark/>
        </w:tcPr>
        <w:p w14:paraId="5E9822CD" w14:textId="77777777" w:rsidR="00CC41C0" w:rsidRPr="000913A3" w:rsidRDefault="00CC41C0" w:rsidP="00352099">
          <w:pPr>
            <w:rPr>
              <w:rFonts w:ascii="Trebuchet MS" w:eastAsia="Calibri" w:hAnsi="Trebuchet MS"/>
              <w:sz w:val="20"/>
              <w:szCs w:val="20"/>
            </w:rPr>
          </w:pPr>
        </w:p>
      </w:tc>
      <w:tc>
        <w:tcPr>
          <w:tcW w:w="3279" w:type="pct"/>
          <w:vMerge/>
          <w:vAlign w:val="center"/>
          <w:hideMark/>
        </w:tcPr>
        <w:p w14:paraId="0D7BF887" w14:textId="77777777" w:rsidR="00CC41C0" w:rsidRPr="00352099" w:rsidRDefault="00CC41C0"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223DADCB" w:rsidR="00CC41C0" w:rsidRPr="00BE46FA" w:rsidRDefault="00CC41C0"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w:t>
          </w:r>
          <w:r w:rsidR="00772CD1">
            <w:rPr>
              <w:rFonts w:ascii="Trebuchet MS" w:eastAsia="Calibri" w:hAnsi="Trebuchet MS" w:cs="Arial"/>
              <w:sz w:val="16"/>
              <w:szCs w:val="16"/>
            </w:rPr>
            <w:t>6</w:t>
          </w:r>
        </w:p>
      </w:tc>
    </w:tr>
    <w:tr w:rsidR="00CC41C0" w:rsidRPr="000913A3" w14:paraId="1D07E442" w14:textId="77777777" w:rsidTr="53F86C67">
      <w:trPr>
        <w:trHeight w:val="384"/>
      </w:trPr>
      <w:tc>
        <w:tcPr>
          <w:tcW w:w="0" w:type="auto"/>
          <w:vMerge/>
          <w:vAlign w:val="center"/>
          <w:hideMark/>
        </w:tcPr>
        <w:p w14:paraId="09BE6A38" w14:textId="77777777" w:rsidR="00CC41C0" w:rsidRPr="000913A3" w:rsidRDefault="00CC41C0"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CC41C0" w:rsidRDefault="00CC41C0"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CC41C0" w:rsidRPr="00352099" w:rsidRDefault="00CC41C0"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268EE2F6" w:rsidR="00CC41C0" w:rsidRPr="00BE46FA" w:rsidRDefault="00CC41C0"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sidR="00772CD1">
            <w:rPr>
              <w:rFonts w:ascii="Trebuchet MS" w:eastAsia="Calibri" w:hAnsi="Trebuchet MS" w:cs="Arial"/>
              <w:sz w:val="16"/>
              <w:szCs w:val="16"/>
              <w:lang w:val="es-ES"/>
            </w:rPr>
            <w:t>28</w:t>
          </w:r>
          <w:r w:rsidRPr="00BE46FA">
            <w:rPr>
              <w:rFonts w:ascii="Trebuchet MS" w:eastAsia="Calibri" w:hAnsi="Trebuchet MS" w:cs="Arial"/>
              <w:sz w:val="16"/>
              <w:szCs w:val="16"/>
              <w:lang w:val="es-ES"/>
            </w:rPr>
            <w:t>/</w:t>
          </w:r>
          <w:r w:rsidR="00772CD1">
            <w:rPr>
              <w:rFonts w:ascii="Trebuchet MS" w:eastAsia="Calibri" w:hAnsi="Trebuchet MS" w:cs="Arial"/>
              <w:sz w:val="16"/>
              <w:szCs w:val="16"/>
              <w:lang w:val="es-ES"/>
            </w:rPr>
            <w:t>07</w:t>
          </w:r>
          <w:r w:rsidRPr="00BE46FA">
            <w:rPr>
              <w:rFonts w:ascii="Trebuchet MS" w:eastAsia="Calibri" w:hAnsi="Trebuchet MS" w:cs="Arial"/>
              <w:sz w:val="16"/>
              <w:szCs w:val="16"/>
              <w:lang w:val="es-ES"/>
            </w:rPr>
            <w:t>/202</w:t>
          </w:r>
          <w:r w:rsidR="009274CF">
            <w:rPr>
              <w:rFonts w:ascii="Trebuchet MS" w:eastAsia="Calibri" w:hAnsi="Trebuchet MS" w:cs="Arial"/>
              <w:sz w:val="16"/>
              <w:szCs w:val="16"/>
              <w:lang w:val="es-ES"/>
            </w:rPr>
            <w:t>5</w:t>
          </w:r>
        </w:p>
      </w:tc>
    </w:tr>
  </w:tbl>
  <w:p w14:paraId="52CC68FB" w14:textId="77777777" w:rsidR="00CC41C0" w:rsidRDefault="00CC41C0">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37FEBE" w14:textId="77777777" w:rsidR="00B54EB3" w:rsidRDefault="00B54EB3">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22"/>
  </w:num>
  <w:num w:numId="2">
    <w:abstractNumId w:val="2"/>
  </w:num>
  <w:num w:numId="3">
    <w:abstractNumId w:val="36"/>
  </w:num>
  <w:num w:numId="4">
    <w:abstractNumId w:val="15"/>
  </w:num>
  <w:num w:numId="5">
    <w:abstractNumId w:val="27"/>
  </w:num>
  <w:num w:numId="6">
    <w:abstractNumId w:val="0"/>
  </w:num>
  <w:num w:numId="7">
    <w:abstractNumId w:val="24"/>
  </w:num>
  <w:num w:numId="8">
    <w:abstractNumId w:val="41"/>
  </w:num>
  <w:num w:numId="9">
    <w:abstractNumId w:val="13"/>
  </w:num>
  <w:num w:numId="10">
    <w:abstractNumId w:val="30"/>
  </w:num>
  <w:num w:numId="11">
    <w:abstractNumId w:val="29"/>
  </w:num>
  <w:num w:numId="12">
    <w:abstractNumId w:val="26"/>
  </w:num>
  <w:num w:numId="13">
    <w:abstractNumId w:val="28"/>
  </w:num>
  <w:num w:numId="14">
    <w:abstractNumId w:val="40"/>
  </w:num>
  <w:num w:numId="15">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7"/>
  </w:num>
  <w:num w:numId="18">
    <w:abstractNumId w:val="20"/>
  </w:num>
  <w:num w:numId="19">
    <w:abstractNumId w:val="6"/>
  </w:num>
  <w:num w:numId="20">
    <w:abstractNumId w:val="19"/>
  </w:num>
  <w:num w:numId="21">
    <w:abstractNumId w:val="31"/>
  </w:num>
  <w:num w:numId="22">
    <w:abstractNumId w:val="9"/>
  </w:num>
  <w:num w:numId="23">
    <w:abstractNumId w:val="16"/>
  </w:num>
  <w:num w:numId="24">
    <w:abstractNumId w:val="12"/>
  </w:num>
  <w:num w:numId="25">
    <w:abstractNumId w:val="17"/>
  </w:num>
  <w:num w:numId="26">
    <w:abstractNumId w:val="32"/>
  </w:num>
  <w:num w:numId="27">
    <w:abstractNumId w:val="1"/>
  </w:num>
  <w:num w:numId="28">
    <w:abstractNumId w:val="38"/>
  </w:num>
  <w:num w:numId="29">
    <w:abstractNumId w:val="25"/>
  </w:num>
  <w:num w:numId="30">
    <w:abstractNumId w:val="3"/>
  </w:num>
  <w:num w:numId="31">
    <w:abstractNumId w:val="11"/>
  </w:num>
  <w:num w:numId="32">
    <w:abstractNumId w:val="34"/>
  </w:num>
  <w:num w:numId="33">
    <w:abstractNumId w:val="14"/>
  </w:num>
  <w:num w:numId="34">
    <w:abstractNumId w:val="18"/>
  </w:num>
  <w:num w:numId="35">
    <w:abstractNumId w:val="21"/>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lvlOverride w:ilvl="2"/>
    <w:lvlOverride w:ilvl="3"/>
    <w:lvlOverride w:ilvl="4"/>
    <w:lvlOverride w:ilvl="5"/>
    <w:lvlOverride w:ilvl="6"/>
    <w:lvlOverride w:ilvl="7"/>
    <w:lvlOverride w:ilvl="8"/>
  </w:num>
  <w:num w:numId="38">
    <w:abstractNumId w:val="20"/>
  </w:num>
  <w:num w:numId="39">
    <w:abstractNumId w:val="33"/>
  </w:num>
  <w:num w:numId="40">
    <w:abstractNumId w:val="39"/>
  </w:num>
  <w:num w:numId="41">
    <w:abstractNumId w:val="5"/>
  </w:num>
  <w:num w:numId="42">
    <w:abstractNumId w:val="37"/>
  </w:num>
  <w:num w:numId="43">
    <w:abstractNumId w:val="8"/>
  </w:num>
  <w:num w:numId="44">
    <w:abstractNumId w:val="23"/>
  </w:num>
  <w:num w:numId="45">
    <w:abstractNumId w:val="10"/>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11AD"/>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E55FE"/>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496D"/>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46C46"/>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2C53"/>
    <w:rsid w:val="00743178"/>
    <w:rsid w:val="00745E00"/>
    <w:rsid w:val="00750E7F"/>
    <w:rsid w:val="00750EE9"/>
    <w:rsid w:val="007551FC"/>
    <w:rsid w:val="0076028F"/>
    <w:rsid w:val="00762801"/>
    <w:rsid w:val="00770274"/>
    <w:rsid w:val="00771ACC"/>
    <w:rsid w:val="00772CD1"/>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274CF"/>
    <w:rsid w:val="00935CE0"/>
    <w:rsid w:val="00943362"/>
    <w:rsid w:val="0094501F"/>
    <w:rsid w:val="009517D8"/>
    <w:rsid w:val="00951AAC"/>
    <w:rsid w:val="0095437E"/>
    <w:rsid w:val="00957301"/>
    <w:rsid w:val="00960482"/>
    <w:rsid w:val="00962924"/>
    <w:rsid w:val="009718A8"/>
    <w:rsid w:val="00976925"/>
    <w:rsid w:val="00976D9C"/>
    <w:rsid w:val="00985300"/>
    <w:rsid w:val="00991CBA"/>
    <w:rsid w:val="00994E74"/>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4EB3"/>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41C0"/>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2CFD"/>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35779"/>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C48"/>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Cuadrculadetab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tmp"/><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3.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2.xml><?xml version="1.0" encoding="utf-8"?>
<ds:datastoreItem xmlns:ds="http://schemas.openxmlformats.org/officeDocument/2006/customXml" ds:itemID="{35B4CE66-CB85-4C0B-8ECF-D375C3C32558}">
  <ds:schemaRefs>
    <ds:schemaRef ds:uri="office.server.policy"/>
  </ds:schemaRefs>
</ds:datastoreItem>
</file>

<file path=customXml/itemProps3.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5.xml><?xml version="1.0" encoding="utf-8"?>
<ds:datastoreItem xmlns:ds="http://schemas.openxmlformats.org/officeDocument/2006/customXml" ds:itemID="{65400A8D-FCA9-4F1C-8DAA-63CA76E715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18</Pages>
  <Words>8206</Words>
  <Characters>46780</Characters>
  <Application>Microsoft Office Word</Application>
  <DocSecurity>0</DocSecurity>
  <Lines>389</Lines>
  <Paragraphs>109</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54877</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AdminUTILS</cp:lastModifiedBy>
  <cp:revision>29</cp:revision>
  <cp:lastPrinted>2021-11-23T18:55:00Z</cp:lastPrinted>
  <dcterms:created xsi:type="dcterms:W3CDTF">2024-01-13T17:45:00Z</dcterms:created>
  <dcterms:modified xsi:type="dcterms:W3CDTF">2025-08-29T15:14:00Z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